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8E" w:rsidRDefault="0046588E" w:rsidP="0046588E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46588E" w:rsidRDefault="0046588E" w:rsidP="0046588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 PROGRAM NAUCZANIA ZAWODU</w:t>
      </w:r>
    </w:p>
    <w:p w:rsidR="0046588E" w:rsidRDefault="0046588E" w:rsidP="0046588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46588E" w:rsidRDefault="0046588E" w:rsidP="0046588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>
        <w:rPr>
          <w:rFonts w:ascii="Arial" w:eastAsia="Arial" w:hAnsi="Arial" w:cs="Arial"/>
          <w:b/>
          <w:color w:val="auto"/>
          <w:sz w:val="28"/>
          <w:szCs w:val="28"/>
        </w:rPr>
        <w:t>TECHNIK RENOWACJI ELEMENTÓW ARCHITEKTURY</w:t>
      </w:r>
    </w:p>
    <w:p w:rsidR="0046588E" w:rsidRDefault="0046588E" w:rsidP="0046588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4902E8" w:rsidRDefault="004902E8" w:rsidP="004902E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eastAsia="Arial" w:cs="Arial"/>
        </w:rPr>
      </w:pPr>
      <w:r>
        <w:rPr>
          <w:rFonts w:eastAsia="Arial" w:cs="Arial"/>
        </w:rPr>
        <w:t>Opracowany w Ośrodku Rozwoju Edukacji w oparciu o Rozporządzenie Ministra Edukacji Narodowej z dnia 16 maja 2019 r.</w:t>
      </w:r>
      <w:r>
        <w:rPr>
          <w:rFonts w:eastAsia="Arial" w:cs="Arial"/>
        </w:rPr>
        <w:br/>
        <w:t xml:space="preserve">w sprawie podstaw programowych kształcenia w zawodach szkolnictwa branżowego oraz dodatkowych umiejętności zawodowych </w:t>
      </w:r>
      <w:r>
        <w:rPr>
          <w:rFonts w:eastAsia="Arial" w:cs="Arial"/>
        </w:rPr>
        <w:br/>
        <w:t>w zakresie wybranych zawodów szkolnictwa branżowego</w:t>
      </w:r>
    </w:p>
    <w:p w:rsidR="0046588E" w:rsidRDefault="0046588E" w:rsidP="0046588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46588E" w:rsidRDefault="0046588E" w:rsidP="0046588E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Program przedmiotowy o strukturze spiralnej</w:t>
      </w:r>
    </w:p>
    <w:p w:rsidR="0046588E" w:rsidRDefault="0046588E" w:rsidP="0046588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46588E" w:rsidRDefault="0046588E" w:rsidP="0046588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SYMBOL CYFROWY ZAWODU 311210</w:t>
      </w:r>
    </w:p>
    <w:p w:rsidR="0046588E" w:rsidRDefault="0046588E" w:rsidP="0046588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46588E" w:rsidRDefault="0046588E" w:rsidP="0046588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KWALIFIKACJE WYODRĘBNIONE W ZAWODZIE:</w:t>
      </w:r>
    </w:p>
    <w:p w:rsidR="0046588E" w:rsidRDefault="0046588E" w:rsidP="0046588E">
      <w:pPr>
        <w:spacing w:line="360" w:lineRule="auto"/>
        <w:jc w:val="center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BUD.23. Wykonywanie i renowacja detali architektonicznych</w:t>
      </w:r>
    </w:p>
    <w:p w:rsidR="0046588E" w:rsidRDefault="0046588E" w:rsidP="0046588E">
      <w:pPr>
        <w:spacing w:line="360" w:lineRule="auto"/>
        <w:jc w:val="center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BUD.24. Prowadzenie prac renowatorskich elementów architektury</w:t>
      </w:r>
    </w:p>
    <w:p w:rsidR="00026A17" w:rsidRDefault="00026A17" w:rsidP="00026A17">
      <w:pPr>
        <w:pStyle w:val="Nagwek2"/>
      </w:pPr>
    </w:p>
    <w:p w:rsidR="00026A17" w:rsidRDefault="00026A17" w:rsidP="00026A17">
      <w:pPr>
        <w:pStyle w:val="Nagwek2"/>
      </w:pPr>
      <w:r>
        <w:t>PRAKTYKA ZAWODOWA -– 140 godzin klasa III i 140 godzin klasa IV technikum 5 letniego</w:t>
      </w:r>
    </w:p>
    <w:p w:rsidR="00026A17" w:rsidRDefault="00026A17"/>
    <w:p w:rsidR="003773A2" w:rsidRPr="007E6FD0" w:rsidRDefault="003773A2" w:rsidP="003773A2">
      <w:pPr>
        <w:spacing w:line="360" w:lineRule="auto"/>
        <w:contextualSpacing/>
        <w:rPr>
          <w:rFonts w:ascii="Arial" w:eastAsia="Arial" w:hAnsi="Arial" w:cs="Arial"/>
          <w:b/>
          <w:color w:val="auto"/>
          <w:szCs w:val="20"/>
        </w:rPr>
      </w:pPr>
      <w:r>
        <w:rPr>
          <w:rFonts w:ascii="Arial" w:eastAsia="Arial" w:hAnsi="Arial" w:cs="Arial"/>
          <w:b/>
          <w:color w:val="auto"/>
          <w:szCs w:val="20"/>
        </w:rPr>
        <w:t>PRAKTYKA ZAWODOWA</w:t>
      </w: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3773A2" w:rsidRPr="007E6FD0" w:rsidRDefault="003773A2" w:rsidP="003773A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 stanowiska pracy zgodnie z obowiązującymi wymaganiami ergonomii, przepisami bezpieczeństwa i higieny pracy, ochrony przeciwpożarowej i ochrony środowiska do wykonywania i renowacji elementów architektonicznych, tynków, powłok malarskich, murów i okładzin.</w:t>
      </w:r>
    </w:p>
    <w:p w:rsidR="003773A2" w:rsidRPr="007E6FD0" w:rsidRDefault="003773A2" w:rsidP="003773A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Kształtowanie umiejętności ochrony przed zagrożeniami dla zdrowia i życia człowieka oraz mienia i środowiska związanych z wykonywaniem i renowacją elementów architektonicznych, tynków, powłok malarskich, tynków i okładzin.</w:t>
      </w:r>
    </w:p>
    <w:p w:rsidR="003773A2" w:rsidRPr="007E6FD0" w:rsidRDefault="003773A2" w:rsidP="003773A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 środków ochrony indywidualnej i zbiorowej do wykonywania i renowacji elementów architektonicznych, murów, tynków i okładzin.</w:t>
      </w:r>
    </w:p>
    <w:p w:rsidR="003773A2" w:rsidRPr="007E6FD0" w:rsidRDefault="003773A2" w:rsidP="003773A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i renowacji sztukatorskich elementów architektury.</w:t>
      </w:r>
    </w:p>
    <w:p w:rsidR="003773A2" w:rsidRPr="007E6FD0" w:rsidRDefault="003773A2" w:rsidP="003773A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i renowacji kamiennych elementów architektury.</w:t>
      </w:r>
    </w:p>
    <w:p w:rsidR="003773A2" w:rsidRPr="007E6FD0" w:rsidRDefault="003773A2" w:rsidP="003773A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i renowacji tynków.</w:t>
      </w:r>
    </w:p>
    <w:p w:rsidR="003773A2" w:rsidRPr="007E6FD0" w:rsidRDefault="003773A2" w:rsidP="003773A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i renowacji powłok malarskich.</w:t>
      </w:r>
    </w:p>
    <w:p w:rsidR="003773A2" w:rsidRPr="007E6FD0" w:rsidRDefault="003773A2" w:rsidP="003773A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i renowacji murów nieotynkowanych.</w:t>
      </w:r>
    </w:p>
    <w:p w:rsidR="003773A2" w:rsidRPr="007E6FD0" w:rsidRDefault="003773A2" w:rsidP="003773A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i renowacji okładzin ceramicznych i kamiennych.</w:t>
      </w:r>
    </w:p>
    <w:p w:rsidR="003773A2" w:rsidRPr="007E6FD0" w:rsidRDefault="003773A2" w:rsidP="003773A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Kształtowanie kompetencji personalnych i społecznych związanych z wykonywaniem i renowacją </w:t>
      </w:r>
      <w:proofErr w:type="spellStart"/>
      <w:r w:rsidRPr="007E6FD0">
        <w:rPr>
          <w:rFonts w:ascii="Arial" w:eastAsia="Arial" w:hAnsi="Arial" w:cs="Arial"/>
          <w:color w:val="auto"/>
          <w:sz w:val="20"/>
          <w:szCs w:val="20"/>
        </w:rPr>
        <w:t>sztukatorskichi</w:t>
      </w:r>
      <w:proofErr w:type="spellEnd"/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kamiennych elementów architektury, </w:t>
      </w:r>
      <w:proofErr w:type="spellStart"/>
      <w:r w:rsidRPr="007E6FD0">
        <w:rPr>
          <w:rFonts w:ascii="Arial" w:eastAsia="Arial" w:hAnsi="Arial" w:cs="Arial"/>
          <w:color w:val="auto"/>
          <w:sz w:val="20"/>
          <w:szCs w:val="20"/>
        </w:rPr>
        <w:t>tynków,powłok</w:t>
      </w:r>
      <w:proofErr w:type="spellEnd"/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7E6FD0">
        <w:rPr>
          <w:rFonts w:ascii="Arial" w:eastAsia="Arial" w:hAnsi="Arial" w:cs="Arial"/>
          <w:color w:val="auto"/>
          <w:sz w:val="20"/>
          <w:szCs w:val="20"/>
        </w:rPr>
        <w:t>malarskich,murów</w:t>
      </w:r>
      <w:proofErr w:type="spellEnd"/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nieotynkowanych oraz okładzin ceramicznych i kamiennych.</w:t>
      </w:r>
    </w:p>
    <w:p w:rsidR="003773A2" w:rsidRPr="007E6FD0" w:rsidRDefault="003773A2" w:rsidP="003773A2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3773A2" w:rsidRPr="007E6FD0" w:rsidRDefault="003773A2" w:rsidP="003773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zaplanować stanowiska pracy zgodnie z wymaganiami ergonomii i przepisami bezpieczeństwa i higieny pracy do wykonywania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renowacjielementów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architektonicznych,murów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 tynków i okładzin,</w:t>
      </w:r>
    </w:p>
    <w:p w:rsidR="003773A2" w:rsidRPr="007E6FD0" w:rsidRDefault="003773A2" w:rsidP="003773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zaplanować stanowiska pracy zgodnie z przepisami ochrony przeciwpożarowej i ochrony środowiska związane z wykonywaniem i renowacją elementów architektonicznych, murów, tynków i okładzin,</w:t>
      </w:r>
    </w:p>
    <w:p w:rsidR="003773A2" w:rsidRPr="007E6FD0" w:rsidRDefault="003773A2" w:rsidP="003773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zapobiegać zagrożeniom zdrowia i życia człowieka związane z wykonywaniem i renowacją elementów architektonicznych, murów, tynków, powłok malarskich i okładzin,</w:t>
      </w:r>
    </w:p>
    <w:p w:rsidR="003773A2" w:rsidRPr="007E6FD0" w:rsidRDefault="003773A2" w:rsidP="003773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zapobiegać zagrożeniom dla mienia i środowiska związane z wykonywaniem i renowacją elementów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architektonicznych,murów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 tynków, powłok malarskich i okładzin,</w:t>
      </w:r>
    </w:p>
    <w:p w:rsidR="003773A2" w:rsidRPr="007E6FD0" w:rsidRDefault="003773A2" w:rsidP="003773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zaplanować środk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ochrony indywidualnej podczas wykonywania i renowacji elementów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architektonicznych,murów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 tynków ,powłok malarskich i okładzin,</w:t>
      </w:r>
    </w:p>
    <w:p w:rsidR="003773A2" w:rsidRPr="007E6FD0" w:rsidRDefault="003773A2" w:rsidP="003773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zaplanować środków ochrony zbiorowej podczas wykonywania i renowacji elementów architektonicznych, murów,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tynków,powłok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malarskichi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okładzin,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polichromię i patyny oraz przeprowadzić ich renowacji,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wykonać, oczyszczanie i zabiegi impregnacyjne sztukatorskich elementów architektury,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łączyć sztukatorskie elementy architektury,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oczyszczanie i impregnowanie kamieniarskich elementów architektury i rzeźb,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uzupełnić ubytki w kamieniarskich elementach architektury i rzeźbach,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uzupełnić brakujące fragmenty kamieniarskich elementów architektury i rzeźb,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wykonać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renowacjęornamentów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i znaków graficznych,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oczyszczanie i zabiegi impregnacyjne tynków,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prace renowacyjne tynków,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oczyszczania i zabiegi impregnacyjne powierzchni murów nieotynkowanych,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renowację wiązań murów nieotynkowanych,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wzmocnienie murów nieotynkowanych,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spoinować mury nieotynkowane,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oczyszczanie i zabiegi impregnacyjne powierzchni okładzin ceramicznych i kamiennych,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renowację okładzin ceramicznych i kamiennych,</w:t>
      </w:r>
    </w:p>
    <w:p w:rsidR="003773A2" w:rsidRPr="007E6FD0" w:rsidRDefault="003773A2" w:rsidP="00377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spoinować okładziny ceramiczne i kamienne,</w:t>
      </w:r>
    </w:p>
    <w:p w:rsidR="003773A2" w:rsidRPr="007E6FD0" w:rsidRDefault="003773A2" w:rsidP="003773A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negocjować warunki porozumień,</w:t>
      </w:r>
    </w:p>
    <w:p w:rsidR="003773A2" w:rsidRPr="007E6FD0" w:rsidRDefault="003773A2" w:rsidP="003773A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prowadzić komunikację interpersonalną,</w:t>
      </w:r>
    </w:p>
    <w:p w:rsidR="003773A2" w:rsidRPr="007E6FD0" w:rsidRDefault="003773A2" w:rsidP="003773A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stosować metody i techniki rozwiązywania problemów,</w:t>
      </w:r>
    </w:p>
    <w:p w:rsidR="003773A2" w:rsidRPr="007E6FD0" w:rsidRDefault="003773A2" w:rsidP="003773A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współpracować w zespole,</w:t>
      </w:r>
    </w:p>
    <w:p w:rsidR="003773A2" w:rsidRPr="007E6FD0" w:rsidRDefault="003773A2" w:rsidP="003773A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zorganizować pracę zespołowi w celu wykonania przydzielonych zadań zawodowych,</w:t>
      </w:r>
    </w:p>
    <w:p w:rsidR="003773A2" w:rsidRPr="007E6FD0" w:rsidRDefault="003773A2" w:rsidP="003773A2">
      <w:pPr>
        <w:pStyle w:val="Akapitzlist"/>
        <w:numPr>
          <w:ilvl w:val="0"/>
          <w:numId w:val="2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dobrać osoby do wykonania przydzielonych zadań,</w:t>
      </w:r>
    </w:p>
    <w:p w:rsidR="003773A2" w:rsidRPr="007E6FD0" w:rsidRDefault="003773A2" w:rsidP="003773A2">
      <w:pPr>
        <w:pStyle w:val="Akapitzlist"/>
        <w:numPr>
          <w:ilvl w:val="0"/>
          <w:numId w:val="2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kierować wykonaniem przydzielonych zadań.</w:t>
      </w:r>
    </w:p>
    <w:p w:rsidR="003773A2" w:rsidRPr="007E6FD0" w:rsidRDefault="003773A2" w:rsidP="003773A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773A2" w:rsidRPr="007E6FD0" w:rsidRDefault="003773A2" w:rsidP="003773A2">
      <w:pPr>
        <w:spacing w:before="20" w:after="20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PRAKTYKA ZAWODOWA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7"/>
        <w:gridCol w:w="2639"/>
        <w:gridCol w:w="993"/>
        <w:gridCol w:w="3512"/>
        <w:gridCol w:w="3575"/>
        <w:gridCol w:w="1354"/>
      </w:tblGrid>
      <w:tr w:rsidR="003773A2" w:rsidRPr="007E6FD0" w:rsidTr="00516A70">
        <w:trPr>
          <w:trHeight w:val="20"/>
        </w:trPr>
        <w:tc>
          <w:tcPr>
            <w:tcW w:w="755" w:type="pct"/>
            <w:vMerge w:val="restart"/>
            <w:vAlign w:val="center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28" w:type="pct"/>
            <w:vMerge w:val="restart"/>
            <w:vAlign w:val="center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  <w:vAlign w:val="center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  <w:vAlign w:val="center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  <w:vAlign w:val="center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  <w:vAlign w:val="center"/>
          </w:tcPr>
          <w:p w:rsidR="003773A2" w:rsidRPr="007E6FD0" w:rsidRDefault="003773A2" w:rsidP="00516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  <w:vMerge/>
            <w:vAlign w:val="center"/>
          </w:tcPr>
          <w:p w:rsidR="003773A2" w:rsidRPr="007E6FD0" w:rsidRDefault="003773A2" w:rsidP="00516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3773A2" w:rsidRPr="007E6FD0" w:rsidRDefault="003773A2" w:rsidP="00516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  <w:vAlign w:val="center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Uczeń potrafi:</w:t>
            </w:r>
          </w:p>
        </w:tc>
        <w:tc>
          <w:tcPr>
            <w:tcW w:w="1257" w:type="pct"/>
            <w:vAlign w:val="center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Ponadpodstawowe</w:t>
            </w:r>
          </w:p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Uczeń potrafi:</w:t>
            </w:r>
          </w:p>
        </w:tc>
        <w:tc>
          <w:tcPr>
            <w:tcW w:w="476" w:type="pct"/>
            <w:vAlign w:val="center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Etap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realizacji</w:t>
            </w:r>
          </w:p>
        </w:tc>
      </w:tr>
      <w:tr w:rsidR="003773A2" w:rsidRPr="007E6FD0" w:rsidTr="00516A70">
        <w:trPr>
          <w:trHeight w:val="467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I. Organizowanie stanowiska pracy zgodnie z obowiązującymi wymaganiami ergonomii, przepisami bezpieczeństwa i higieny pracy, ochrony przeciwpożarowej i ochrony środowiska 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Planowanie stanowiska pracy zgodnie z wymaganiami ergonomii i przepisami bezpieczeństwa </w:t>
            </w:r>
          </w:p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higieny pracy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BC4CA5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organizowania stanowiska pracy do wykonywania i renowacji detali architektonicznych zgodnie z wymaganiami ergonomii i przepisami bezpieczeństwa i higieny pracy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zasady organizowania stanowiska pracy do wykonywania i renowacji murów, tynków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okładzin zgodnie z wymaganiami ergonomii i przepisami bezpieczeństwa</w:t>
            </w:r>
            <w:r w:rsidR="00D3509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higieny pracy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stanowisko pracy do wykonywania i renowacji detali architektonicznych zgodnie z wymaganiami ergonomii i przepisami bezpieczeństwa i higieny pracy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organizować stanowisko pracy </w:t>
            </w:r>
            <w:proofErr w:type="spellStart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dowykonywania</w:t>
            </w:r>
            <w:proofErr w:type="spellEnd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renowacji murów, tynków i okładzin zgodnie z wymaganiami ergonomii i przepisami bezpieczeństwa i higieny pracy</w:t>
            </w:r>
          </w:p>
        </w:tc>
        <w:tc>
          <w:tcPr>
            <w:tcW w:w="476" w:type="pct"/>
          </w:tcPr>
          <w:p w:rsidR="003773A2" w:rsidRPr="007E6FD0" w:rsidRDefault="00497FE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3773A2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III/ IV</w:t>
            </w:r>
          </w:p>
        </w:tc>
      </w:tr>
      <w:tr w:rsidR="003773A2" w:rsidRPr="007E6FD0" w:rsidTr="00516A70">
        <w:trPr>
          <w:trHeight w:val="467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Planowanie stanowiska pracy </w:t>
            </w:r>
            <w:proofErr w:type="spellStart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zgodniez</w:t>
            </w:r>
            <w:proofErr w:type="spellEnd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 przepisami ochrony przeciwpożarowej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 xml:space="preserve">i ochrony środowiska 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organizowania stanowiska pracy do wykonywania i renowacji detali architektonicznych zgodnie z przepisami ochrony przeciwpożarowej i ochrony środowiska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organizowania stanowiska pracy do wykonywania i renowacji murów, tynków i okładzin zgodnie z przepisami ochrony przeciwpożarowej i ochrony środowiska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organizować stanowisko pracy do wykonywania i renowacji detali architektonicznych zgodnie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 xml:space="preserve">z przepisami ochrony przeciwpożarowej i ochrony środowiska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organizować stanowisko pracy do wykonywania i renowacji murów, tynków i okładzin zgodnie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 xml:space="preserve">z przepisami ochrony przeciwpożarowej i ochrony środowiska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467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II. Ochrona przed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zagrożeniami dla zdrowia i życia człowieka oraz mienia i środowiska związane z wykonywaniem zadań zawodowych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Zapobieganie zagrożeniom zdrowia i życia człowieka 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zagrożenia dla zdrowia i życia związane z wykonywaniem renowacji detali architektonicznych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zagrożenia dla zdrowia i życia związane z wykonywaniem i renowacją murów, </w:t>
            </w:r>
            <w:proofErr w:type="spellStart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tynkówi</w:t>
            </w:r>
            <w:proofErr w:type="spellEnd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okładzin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dla zdrowia i życia człowieka związane z wykonywaniem i renowacją detali architektonicznych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dla zdrowia i życia człowieka </w:t>
            </w:r>
            <w:proofErr w:type="spellStart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związanez</w:t>
            </w:r>
            <w:proofErr w:type="spellEnd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wykonywaniem i renowacją murów, tynków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 okładzin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467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2. Zapobieganie zagrożeniom dla mienia i środowiska 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zagrożenia dla mienia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 xml:space="preserve"> i środowiska związane z wykonywaniem i renowacją detali architektonicznych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zagrożenia dla mienia i środowiska związane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 wykonywaniem i renowacją murów, tynków i okładzin 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przewidywać zagrożenia dla mienia i środowiska związane z wykonywaniem i renowacją detali architektonicznych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przewidywać zagrożenia dla mienia i środowiska związane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 xml:space="preserve">z wykonywaniem i renowacją murów, tynków i okładzin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467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III. Organizowanie środków ochrony indywidualnej i zbiorowej podczas wykonywania zadań zawodowych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Planowanie środków ochrony indywidualnej podczas wykonywania zadań zawodowych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opisać środki ochrony </w:t>
            </w:r>
            <w:proofErr w:type="spellStart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indywidualnejdo</w:t>
            </w:r>
            <w:proofErr w:type="spellEnd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 wykonywania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renowacji detali architektonicznych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opisać środki ochrony indywidualnej i zbiorowej konieczne do wykonywania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renowacji murów, tynków i okładzin 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środki ochrony indywidualnej do wykonywania i renowacji detali architektonicznych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środki ochrony indywidualnej podczas wykonywania i renowacji detali architektonicznych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środki ochrony indywidualnej do wykonywania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renowacji murów, tynków i okładzin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środki ochrony indywidualnej podczas wykonywania i renowacji murów, tynków i okładzin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467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Planowanie środków ochrony zbiorowej podczas wykonywania zadań zawodowych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opisać środki ochrony zbiorowej konieczne do wykonywania i renowacji detali architektonicznych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opisać środki ochrony zbiorowej konieczne do wykonywania i renowacji murów, tynków i okładzin </w:t>
            </w:r>
          </w:p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środki ochrony zbiorowej do wykonywania i renowacji detali architektonicznych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środki ochrony zbiorowej podczas wykonywania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renowacji detali architektonicznych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środki ochrony zbiorowej do wykonywania i renowacji murów, tynków i okładzin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środki ochrony zbiorowej podczas wykonywania i renowacji murów, tynków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i okładzin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549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Renowacja sztukatorskich elementów architektury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W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ykonywanie polichromii i patyn oraz przeprowadzanie ich renowacji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elementy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polichromii i patynowania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 polichromie i patyny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renowację polichromii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patyn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W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ykonywanie, oczyszczanie i zabiegi impregnacyjne sztukatorskich elementów architektury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sztukatorskie elementy architektury do oczyszczania i impregnacji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przeprowadzić oczyszczanie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zabiegi impregnacyjne sztukatorskich elementów architektury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503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Ł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ączenie sztukatorskich elementów architektury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przygotować sztukatorskie elementy architektury do łączenie 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przeprowadzić łączenie sztukatorskich elementów architektury z wykorzystaniem odpowiednich materiałów i narzędzi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VII. Renowacja kamiennych elementów architektury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Oczyszczanie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 xml:space="preserve"> i impregnacja kamieniarskich elementów architektury i rzeźb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kamieniarskie elementy architektury i rzeźby do oczyszczanie i impregnacji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przeprowadzić oczyszczanie kamieniarskich elementów architektury i rzeźb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przeprowadzić zabiegi impregnacyjne kamieniarskich elementów architektury i rzeźb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U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zupełnianie ubytków kamieniarskich elementów architektury i rzeźb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podłoża pod uzupełnienia ubytków kamieniarskich elementów architektury i rzeźb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przygotować podłoża pod uzupełnienia ubytków kamieniarskich elementów architektury i rzeźb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przeprowadzić uzupełnianie ubytków kamieniarskich elementów architektury i rzeźb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U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zupełnianie brakujących fragmentów kamieniarskich elementów architektury i rzeźb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przygotować szablony, fleki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 brakujące fragmenty kamieniarskich elementów architektury i rzeźb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szablony fleków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brakujących fragmentów kamieniarskich elementów architektury i rzeźb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fleki i brakujące fragmenty kamieniarskich elementów architektury i rzeźb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montaż fleków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brakujących fragmentów kamieniarskich elementów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architektury i rzeźb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149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4. W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ykonywanie renowacji ornamentów i znaków graficznych na kamieniarskich elementach architektury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przygotować kamieniarskie elementy architektury i rzeźb do wykonania renowacji ornamentów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 znaków graficznych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renowację ornamentów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renowację znaków graficznych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879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VIII. Renowacja tynków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Oczyszczanie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 zabiegi impregnacyjne tynków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stan zanieczyszczeń tynków 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technologie wykonania oczyszczania i zabiegów impregnacyjnych tynków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oczyszczanie tynków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zabiegi impregnacyjne tynków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Prace renowacyjne tynków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stan tynków przeznaczonych do renowacji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technologie wykonania prac renowacyjnych tynków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uzupełnienia ubytków tynków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renowację tynków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IX. Renowacja powłok malarskich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Oczyszczanie i zabiegi impregnacyjne powłok malarskich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stan zachowania powłok malarskich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technologie wykonania przygotowania podłoża pod renowację powłok malarskich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 zabiegi renowacyjne powłok malarskich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Prace renowacyjne powłok malarskich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technologię wykonania renowacji powłok malarskich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technologię wykonania renowacji powłok malarskich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wykonaćrenowację</w:t>
            </w:r>
            <w:proofErr w:type="spellEnd"/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powłok malarskich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530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X. Renowacja murów nieotynkowanych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Wykonywanie oczyszczania </w:t>
            </w:r>
          </w:p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zabiegów impregnacyjnych powierzchni murów nieotynkowanych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rodzaje zanieczyszczeń murów nieotynkowanych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materiały do wykonania oczyszczania i zabiegów impregnacyjnych murów nieotynkowanych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i sprzęt do wykonania oczyszczania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 zabiegów impregnacyjnych murów nieotynkowanych 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technologie wykonania oczyszczania i zabiegów impregnacyjnych murów nieotynkowanych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oczyścić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powierzchnie murów nieotynkowanych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zabiegi impregnacyjne powierzchni murów nieotynkowanych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Renowacja wiązań murów nieotynkowanych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rodzaje wiązań cegieł i kamieni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sposób wiązania cegieł i kamieni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renowację wiązań cegieł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 kamieni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Wzmocnienie murów nieotynkowanych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sposoby wzmocnienia murów nieotynkowanych 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technologie wzmocnienia murów nieotynkowanych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prowadzić prace wzmacniające mury nieotynkowane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4. Spoinowanie murów nieotynkowanych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wykonania spoin murów nieotynkowanych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proofErr w:type="spellStart"/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materiałydo</w:t>
            </w:r>
            <w:proofErr w:type="spellEnd"/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 wykonania spionowania murów nieotynkowanych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i sprzęt do wykonania spionowania murów nieotynkowanych 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wykonać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spoinowanie murów nieotynkowanych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X. Renowacja okładzin ceramicznych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>i kamiennych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Oczyszczaniezabiegi</w:t>
            </w:r>
            <w:proofErr w:type="spellEnd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impregnacyjne powierzchni okładzin ceramicznych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 kamiennych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rodzaje zanieczyszczeń powierzchni okładzin ceramicznych i kamiennych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.dobrać technologie wykonania oczyszczania i zabiegów impregnacyjnych powierzchni okładzin ceramicznych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technologie wykonania oczyszczania i zabiegów impregnacyjnych powierzchni okładzin kamiennych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oczyszczanie powierzchni okładzin ceramicznych i kamiennych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zabiegi impregnacyjne powierzchni okładzin ceramicznych i kamiennych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Wykonywanie renowacji okładzin ceramicznych </w:t>
            </w:r>
          </w:p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kamiennych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BC4CA5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C4CA5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renowacji okładzin ceramicznych i kamiennych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montażu okładzin ceramicznych i kamiennych </w:t>
            </w:r>
          </w:p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renowację okładzin ceramicznych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podłoże do montażu okładzin ceramicznych i kamiennych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montaż okładzin ceramicznych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montaż okładzin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kamiennych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Spoinowanie okładzin ceramicznych kamiennych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BC4CA5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C4CA5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wykonania spoin okładzin </w:t>
            </w:r>
            <w:proofErr w:type="spellStart"/>
            <w:r w:rsidRPr="00BC4CA5">
              <w:rPr>
                <w:rFonts w:ascii="Arial" w:hAnsi="Arial" w:cs="Arial"/>
                <w:color w:val="auto"/>
                <w:sz w:val="20"/>
                <w:szCs w:val="20"/>
              </w:rPr>
              <w:t>ceramicznychi</w:t>
            </w:r>
            <w:proofErr w:type="spellEnd"/>
            <w:r w:rsidRPr="00BC4CA5">
              <w:rPr>
                <w:rFonts w:ascii="Arial" w:hAnsi="Arial" w:cs="Arial"/>
                <w:color w:val="auto"/>
                <w:sz w:val="20"/>
                <w:szCs w:val="20"/>
              </w:rPr>
              <w:t xml:space="preserve"> kamiennych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materiały do wykonania spionowania okładzin ceramicznych i kamiennych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narzędzia i </w:t>
            </w:r>
            <w:proofErr w:type="spellStart"/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sprzętdo</w:t>
            </w:r>
            <w:proofErr w:type="spellEnd"/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 wykonania spionowania okładzin ceramicznych i kamiennych 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spoinowanie okładzin ceramicznych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spoinowanie okładzin kamiennych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  <w:vMerge w:val="restart"/>
          </w:tcPr>
          <w:p w:rsidR="003773A2" w:rsidRPr="007E6FD0" w:rsidRDefault="003773A2" w:rsidP="00516A70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XI. Kompetencje personalne i społeczne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Negocjacje i komunikacja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negocjacyjne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podjąć działania negocjacyjne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charakteryzować ogólne zasady komunikacji interpersonalnej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czynniki powodujące bariery komunikacyjne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negocjować prostą umowę lub porozumienie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werbalne i niewerbalne metody komunikacji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C6502C">
        <w:trPr>
          <w:trHeight w:val="2249"/>
        </w:trPr>
        <w:tc>
          <w:tcPr>
            <w:tcW w:w="755" w:type="pct"/>
            <w:vMerge/>
          </w:tcPr>
          <w:p w:rsidR="003773A2" w:rsidRPr="007E6FD0" w:rsidRDefault="003773A2" w:rsidP="00516A70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3773A2" w:rsidRPr="007E6FD0" w:rsidRDefault="003773A2" w:rsidP="00516A70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Rozwiązywanie problemów w zespole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przyczyny powstawania problemów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przyczyny konfliktów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 pracę zespołu w celu wykonania przydzielonych zadań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współpracy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 zespole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podejmować decyzje zespołowe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harakteryzować metody i techniki rozwiązywania problemów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sposoby rozwiązywania konfliktów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osoby do wykonania przydzielonych zadań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wspierać członków zespołu w realizacji zadań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755" w:type="pct"/>
          </w:tcPr>
          <w:p w:rsidR="003773A2" w:rsidRPr="007E6FD0" w:rsidRDefault="003773A2" w:rsidP="00516A70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XII. Organizacja pracy małych zespołów</w:t>
            </w:r>
          </w:p>
        </w:tc>
        <w:tc>
          <w:tcPr>
            <w:tcW w:w="928" w:type="pct"/>
          </w:tcPr>
          <w:p w:rsidR="003773A2" w:rsidRPr="007E6FD0" w:rsidRDefault="003773A2" w:rsidP="00516A70">
            <w:p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Kierowanie pracą zespołu</w:t>
            </w:r>
          </w:p>
        </w:tc>
        <w:tc>
          <w:tcPr>
            <w:tcW w:w="349" w:type="pct"/>
          </w:tcPr>
          <w:p w:rsidR="003773A2" w:rsidRPr="007E6FD0" w:rsidRDefault="003773A2" w:rsidP="00516A70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przygotować zadania zespołu do realizacji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pokazać wzorce w celu wykonania zadania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kompetencje osób w zespole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ustalić kolejność wykonywania zadań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wydać dyspozycje osobom wykonującym poszczególne zadania</w:t>
            </w:r>
          </w:p>
        </w:tc>
        <w:tc>
          <w:tcPr>
            <w:tcW w:w="1257" w:type="pct"/>
          </w:tcPr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efekty pracy w zespole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ocenić przydatność poszczególnych członków zespołu do wykonania zadania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rozdzielić zadania według umiejętności i kompetencji członków zespołu </w:t>
            </w:r>
          </w:p>
          <w:p w:rsidR="003773A2" w:rsidRPr="007E6FD0" w:rsidRDefault="003773A2" w:rsidP="003773A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proces wykonywania zadań </w:t>
            </w:r>
          </w:p>
        </w:tc>
        <w:tc>
          <w:tcPr>
            <w:tcW w:w="476" w:type="pct"/>
          </w:tcPr>
          <w:p w:rsidR="003773A2" w:rsidRPr="007E6FD0" w:rsidRDefault="003773A2" w:rsidP="00516A70">
            <w:pPr>
              <w:rPr>
                <w:color w:val="auto"/>
              </w:rPr>
            </w:pPr>
          </w:p>
        </w:tc>
      </w:tr>
      <w:tr w:rsidR="003773A2" w:rsidRPr="007E6FD0" w:rsidTr="00516A70">
        <w:trPr>
          <w:trHeight w:val="20"/>
        </w:trPr>
        <w:tc>
          <w:tcPr>
            <w:tcW w:w="1683" w:type="pct"/>
            <w:gridSpan w:val="2"/>
          </w:tcPr>
          <w:p w:rsidR="003773A2" w:rsidRPr="007E6FD0" w:rsidRDefault="003773A2" w:rsidP="00516A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3773A2" w:rsidRPr="007E6FD0" w:rsidRDefault="003773A2" w:rsidP="00516A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3773A2" w:rsidRPr="007E6FD0" w:rsidRDefault="003773A2" w:rsidP="00516A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</w:tcPr>
          <w:p w:rsidR="003773A2" w:rsidRPr="007E6FD0" w:rsidRDefault="003773A2" w:rsidP="00516A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3773A2" w:rsidRPr="007E6FD0" w:rsidRDefault="003773A2" w:rsidP="00516A70">
            <w:pPr>
              <w:pStyle w:val="tabelalew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773A2" w:rsidRPr="007E6FD0" w:rsidRDefault="003773A2" w:rsidP="003773A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773A2" w:rsidRPr="007E6FD0" w:rsidRDefault="003773A2" w:rsidP="003773A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773A2" w:rsidRPr="007E6FD0" w:rsidRDefault="003773A2" w:rsidP="003773A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Program nauczania do przedmiotu praktycznego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praktyka zawodowa </w:t>
      </w:r>
      <w:r w:rsidRPr="007E6FD0">
        <w:rPr>
          <w:rFonts w:ascii="Arial" w:hAnsi="Arial" w:cs="Arial"/>
          <w:color w:val="auto"/>
          <w:sz w:val="20"/>
          <w:szCs w:val="20"/>
        </w:rPr>
        <w:t>należy realizować w świadomy i przemyślany sposób. Treści i metody kształcenia powinny współgrać z różnorodnymi formami organizacyjnymi. Zaleca się stosowanie praktycznych metod nauczania:</w:t>
      </w:r>
    </w:p>
    <w:p w:rsidR="003773A2" w:rsidRPr="007E6FD0" w:rsidRDefault="003773A2" w:rsidP="003773A2">
      <w:pP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Pokaz z objaśnieniem (wyjaśnieniem).</w:t>
      </w:r>
    </w:p>
    <w:p w:rsidR="003773A2" w:rsidRPr="007E6FD0" w:rsidRDefault="003773A2" w:rsidP="003773A2">
      <w:pP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Pokaz z instruktażem.</w:t>
      </w:r>
    </w:p>
    <w:p w:rsidR="003773A2" w:rsidRPr="007E6FD0" w:rsidRDefault="003773A2" w:rsidP="003773A2">
      <w:pP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4. Ćwiczenia laboratoryjne.</w:t>
      </w:r>
    </w:p>
    <w:p w:rsidR="003773A2" w:rsidRPr="007E6FD0" w:rsidRDefault="003773A2" w:rsidP="003773A2">
      <w:pP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5. Ćwiczenia produkcyjne (wytwórcze).</w:t>
      </w:r>
    </w:p>
    <w:p w:rsidR="003773A2" w:rsidRPr="007E6FD0" w:rsidRDefault="003773A2" w:rsidP="003773A2">
      <w:pP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6. Metoda projektów.</w:t>
      </w: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 i uwzględniać rzetelne wiedzę. W trakcie realizacji programu nauczania należy zwrócić uwagę na samokształcenie uczniów oraz kształtować świadome korzystanie z różnych źródeł informacji: podręczniki, poradniki, normy, katalogi, instrukcje, Internet. Ponadto należy u uczniów rozwijać zainteresowanie zawodem, wskazywać możliwości dalszego kształcenia oraz zdobywania nowych umiejętności i kwalifikacji zawodowych.</w:t>
      </w: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 przedmiocie </w:t>
      </w:r>
      <w:r w:rsidRPr="007E6FD0">
        <w:rPr>
          <w:rFonts w:ascii="Arial" w:hAnsi="Arial" w:cs="Arial"/>
          <w:b/>
          <w:color w:val="auto"/>
          <w:sz w:val="20"/>
          <w:szCs w:val="20"/>
        </w:rPr>
        <w:t>praktyka zawodowa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środki dydaktyczne powinny uwzględniać najnowsze rozwiązania techno-dydaktyczne</w:t>
      </w:r>
      <w:r w:rsidRPr="007E6FD0">
        <w:rPr>
          <w:rFonts w:ascii="Arial" w:eastAsia="Arial" w:hAnsi="Arial" w:cs="Arial"/>
          <w:color w:val="auto"/>
          <w:sz w:val="20"/>
          <w:szCs w:val="20"/>
        </w:rPr>
        <w:t>: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materiały, narzędzia, sprzęt i urządzenia do wykonywania renowacji, komputer z dostępem do Internetu, urządzenia multimedialne i odtwarzacze CD, filmy instruktażowe i specjalistyczne programy komputerowe, zestawy ćwiczeń praktycznych, podręczniki, poradniki, normy, katalogi, instrukcje. Nauczyciele kierujący procesem kształcenia umiejętności uczniów powinni udzielać wsparcia i sterować tempem pracy z uwzględnieniem predyspozycji oraz umiejętności uczniów.</w:t>
      </w:r>
    </w:p>
    <w:p w:rsidR="003773A2" w:rsidRPr="007E6FD0" w:rsidRDefault="003773A2" w:rsidP="003773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Zaleca się, aby w trakcie realizacji programu nauczania rozszerzać w miarę potrzeb te zagadnienia, które dotyczą bezpośrednio zawodu technika renowacji elementów architektury. Zajęcia edukacyjne powinny być prowadzone u pracodawcy. Zaleca się, aby praktyka zawodowa odbywały się w grupach do 4 osób.</w:t>
      </w:r>
    </w:p>
    <w:p w:rsidR="003773A2" w:rsidRDefault="003773A2" w:rsidP="003773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773A2" w:rsidRPr="007E6FD0" w:rsidRDefault="003773A2" w:rsidP="003773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773A2" w:rsidRPr="007E6FD0" w:rsidRDefault="003773A2" w:rsidP="003773A2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 xml:space="preserve">Sprawdzanie i ocenianie osiągnięć uczniów z wykonywania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 sztukatorskich i kamieniarskich elementów architektury i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renowacji murów,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tynków,powłok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malarskich i okładzin powinno odbywać się w sposób ciągły i systematyczny, przez cały czas realizacji programu. Umiejętności praktyczne powinno się sprawdzać poprzez obserwację czynności wykonywanych przez uczniów podczas realizacji zadań zawodowych.</w:t>
      </w: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Prowadzenie pomiaru dydaktycznego wymaga od nauczyciela opracowania spójnego przedmiotowego systemu oceniania, oraz opracowanie arkuszy obserwacji.</w:t>
      </w: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Ocenianie powinno uświadamiać uczniowi poziom jego osiągnięć w stosunku do wymagań edukacyjnych, wdrażać do systematycznej pracy, samokontroli i samooceny.</w:t>
      </w:r>
    </w:p>
    <w:p w:rsidR="003773A2" w:rsidRPr="007E6FD0" w:rsidRDefault="003773A2" w:rsidP="003773A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773A2" w:rsidRPr="007E6FD0" w:rsidRDefault="003773A2" w:rsidP="003773A2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PROPONOWANE METODY EWALUACJI PRZEDMIOTU</w:t>
      </w:r>
    </w:p>
    <w:p w:rsidR="003773A2" w:rsidRPr="007E6FD0" w:rsidRDefault="003773A2" w:rsidP="003773A2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Celem ewaluowanego przedmiotu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praktyka zawodowa,</w:t>
      </w:r>
      <w:r w:rsidR="00D35093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jest pozyskanie informacji o tworzonych warunkach do rozwijania umiejętności samodzielnego rozwiązywania problemów,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w tym –w szczególności 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wykonania i prowadzenia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renowacji: sztukatorskich elementów architektury oraz kamiennych elementów architektury</w:t>
      </w:r>
    </w:p>
    <w:p w:rsidR="003773A2" w:rsidRPr="007E6FD0" w:rsidRDefault="003773A2" w:rsidP="003773A2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Przedmiotem ewaluacji jest rozwijanie kompetencji teoretycznych. Głównym problemem badawczym jest ustalenie odpowiedzi na pytanie: Czy w programie przedmiotu 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pracownia renowacji sztukatorskich, kamieniarskich elementów architektury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są tworzone warunki do rozwijania u 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wykorzystania maszyn, urządzeń, narzędzi i aparatów stosowanych w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 sztukatorskich elementów architektury, kamiennych elementów architektury.</w:t>
      </w:r>
    </w:p>
    <w:p w:rsidR="003773A2" w:rsidRPr="007E6FD0" w:rsidRDefault="003773A2" w:rsidP="003773A2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Zakresy badawcze określone przez pytania kluczowe będą rozpatrywane przez pryzmat następujących kryteriów: 1. Trafność podejmowanych działań związanych z wykonywaniem zadań zawodowych. 2. Efekty podejmowanych działań. 3. Czy uczniowie nabywają na zajęciach określone w materiale nauczania przedmiotu praktyka zawodowa umiejętności i potrafią zastosować je w praktyce? 4. Czy szkoła stwarza warunki do rozwoju uzdolnień i zainteresowań uczniów tym przedmiotem?</w:t>
      </w:r>
    </w:p>
    <w:p w:rsidR="003773A2" w:rsidRPr="007E6FD0" w:rsidRDefault="003773A2" w:rsidP="003773A2">
      <w:pP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rozmowy indywidualne z uczniami.</w:t>
      </w:r>
    </w:p>
    <w:p w:rsidR="003773A2" w:rsidRDefault="003773A2"/>
    <w:sectPr w:rsidR="003773A2" w:rsidSect="004658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5CC3"/>
    <w:multiLevelType w:val="hybridMultilevel"/>
    <w:tmpl w:val="680278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C2EA2"/>
    <w:multiLevelType w:val="hybridMultilevel"/>
    <w:tmpl w:val="952402E4"/>
    <w:lvl w:ilvl="0" w:tplc="436A93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27DE2"/>
    <w:multiLevelType w:val="hybridMultilevel"/>
    <w:tmpl w:val="961E7FDA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588E"/>
    <w:rsid w:val="00026A17"/>
    <w:rsid w:val="003773A2"/>
    <w:rsid w:val="0046588E"/>
    <w:rsid w:val="004902E8"/>
    <w:rsid w:val="00497FE2"/>
    <w:rsid w:val="005D7C22"/>
    <w:rsid w:val="00764F92"/>
    <w:rsid w:val="00794F27"/>
    <w:rsid w:val="009A41F1"/>
    <w:rsid w:val="00B47462"/>
    <w:rsid w:val="00C6502C"/>
    <w:rsid w:val="00D35093"/>
    <w:rsid w:val="00DD51AE"/>
    <w:rsid w:val="00FA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A17"/>
    <w:pPr>
      <w:keepNext/>
      <w:keepLines/>
      <w:spacing w:before="120" w:after="120" w:line="276" w:lineRule="auto"/>
      <w:outlineLvl w:val="1"/>
    </w:pPr>
    <w:rPr>
      <w:rFonts w:ascii="Arial" w:hAnsi="Arial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ORE MYŚLNIKI,Heding 2,N w prog,Obiekt,normalny tekst,Akapit z listą1,Średnia siatka 1 — akcent 21,List Paragraph3,Jasna siatka — akcent 31,Colorful List - Accent 11,Akapit z listą11"/>
    <w:basedOn w:val="Normalny"/>
    <w:link w:val="AkapitzlistZnak"/>
    <w:uiPriority w:val="34"/>
    <w:qFormat/>
    <w:rsid w:val="003773A2"/>
    <w:pPr>
      <w:pBdr>
        <w:top w:val="nil"/>
        <w:left w:val="nil"/>
        <w:bottom w:val="nil"/>
        <w:right w:val="nil"/>
        <w:between w:val="nil"/>
      </w:pBd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Heding 2 Znak,N w prog Znak,Obiekt Znak,normalny tekst Znak,Akapit z listą1 Znak,Średnia siatka 1 — akcent 21 Znak,List Paragraph3 Znak"/>
    <w:link w:val="Akapitzlist"/>
    <w:uiPriority w:val="34"/>
    <w:qFormat/>
    <w:locked/>
    <w:rsid w:val="003773A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elalewa">
    <w:name w:val="tabela lewa"/>
    <w:basedOn w:val="Akapitzlist"/>
    <w:link w:val="tabelalewaZnak"/>
    <w:qFormat/>
    <w:rsid w:val="00377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0"/>
      <w:contextualSpacing w:val="0"/>
    </w:pPr>
    <w:rPr>
      <w:rFonts w:ascii="Calibri" w:hAnsi="Calibri"/>
      <w:bCs/>
      <w:color w:val="auto"/>
      <w:sz w:val="18"/>
      <w:szCs w:val="18"/>
    </w:rPr>
  </w:style>
  <w:style w:type="character" w:customStyle="1" w:styleId="tabelalewaZnak">
    <w:name w:val="tabela lewa Znak"/>
    <w:link w:val="tabelalewa"/>
    <w:rsid w:val="003773A2"/>
    <w:rPr>
      <w:rFonts w:ascii="Calibri" w:eastAsia="Times New Roman" w:hAnsi="Calibri" w:cs="Times New Roman"/>
      <w:bCs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A17"/>
    <w:rPr>
      <w:rFonts w:ascii="Arial" w:eastAsia="Times New Roman" w:hAnsi="Arial" w:cs="Times New Roman"/>
      <w:b/>
      <w:bCs/>
      <w:color w:val="000000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2848</Words>
  <Characters>17092</Characters>
  <Application>Microsoft Office Word</Application>
  <DocSecurity>0</DocSecurity>
  <Lines>142</Lines>
  <Paragraphs>39</Paragraphs>
  <ScaleCrop>false</ScaleCrop>
  <Company>Microsoft</Company>
  <LinksUpToDate>false</LinksUpToDate>
  <CharactersWithSpaces>19901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2023-09-10T01:45:00Z</dcterms:created>
  <dcterms:modified xsi:type="dcterms:W3CDTF">2025-03-26T11:23:00Z</dcterms:modified>
</cp:coreProperties>
</file>